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2F780" w14:textId="77777777" w:rsidR="00AB797D" w:rsidRPr="002A3C70" w:rsidRDefault="00AB797D" w:rsidP="00AB797D">
      <w:pPr>
        <w:numPr>
          <w:ilvl w:val="0"/>
          <w:numId w:val="1"/>
        </w:numPr>
        <w:spacing w:before="120" w:after="120"/>
        <w:jc w:val="center"/>
        <w:rPr>
          <w:rFonts w:cs="Arial"/>
          <w:sz w:val="20"/>
          <w:szCs w:val="20"/>
        </w:rPr>
      </w:pPr>
      <w:r w:rsidRPr="008C40A2">
        <w:rPr>
          <w:rFonts w:cs="Arial"/>
          <w:sz w:val="20"/>
          <w:szCs w:val="20"/>
        </w:rPr>
        <w:t>člen</w:t>
      </w:r>
    </w:p>
    <w:p w14:paraId="1DBD8ED1" w14:textId="77777777" w:rsidR="00AB797D" w:rsidRPr="008C40A2" w:rsidRDefault="00AB797D" w:rsidP="00AB797D">
      <w:pPr>
        <w:rPr>
          <w:rFonts w:cs="Arial"/>
          <w:sz w:val="20"/>
          <w:szCs w:val="20"/>
        </w:rPr>
      </w:pPr>
      <w:r w:rsidRPr="008C40A2">
        <w:rPr>
          <w:rFonts w:cs="Arial"/>
          <w:sz w:val="20"/>
          <w:szCs w:val="20"/>
        </w:rPr>
        <w:t>Na podlagi dejanskih podatkov prijavljenega števila vozil posameznega naročnika in izbranih zavarovalnih vrst in podvrst, ki jih ta posreduje zavarovalnici s prijavami (spremembe med zavarovalnim letom) v preteklem zavarovalnem letu najkasneje do petega (5.) delovnega dne po zaključku preteklega zavarovalnega leta nato zavarovalnica pripravi končni obračun premije do desetega (10.) delovnega dne po zaključku preteklega zavarovalnega leta. Posamezni naročnik pa ga potrdi do petnajstega (15.) delovnega dne po zaključku preteklega zavarovalnega leta. Zavarovalnica izstavi račun (</w:t>
      </w:r>
      <w:proofErr w:type="spellStart"/>
      <w:r w:rsidRPr="008C40A2">
        <w:rPr>
          <w:rFonts w:cs="Arial"/>
          <w:sz w:val="20"/>
          <w:szCs w:val="20"/>
        </w:rPr>
        <w:t>bremepis</w:t>
      </w:r>
      <w:proofErr w:type="spellEnd"/>
      <w:r w:rsidRPr="008C40A2">
        <w:rPr>
          <w:rFonts w:cs="Arial"/>
          <w:sz w:val="20"/>
          <w:szCs w:val="20"/>
        </w:rPr>
        <w:t xml:space="preserve">/dobropis) za razliko med že fakturirano letno premijo (iz 5. člena te pogodbe) in končnim letnim obračunom premije, v roku petih (5) delovnih dni po potrjenem končnem letnem obračunu s strani posameznega naročnika (za posamezno vozilo potrdi po e-pošti in nato se v razumnem roku potrdi v tiskani obliki samo kumulativni končni letni obračun premije za vsa vozila). </w:t>
      </w:r>
    </w:p>
    <w:p w14:paraId="0C1CACF0" w14:textId="77777777" w:rsidR="00AB797D" w:rsidRPr="008C40A2" w:rsidRDefault="00AB797D" w:rsidP="00AB797D">
      <w:pPr>
        <w:rPr>
          <w:rFonts w:cs="Arial"/>
          <w:sz w:val="20"/>
          <w:szCs w:val="20"/>
        </w:rPr>
      </w:pPr>
    </w:p>
    <w:p w14:paraId="432331D4" w14:textId="77777777" w:rsidR="00AB797D" w:rsidRPr="008C40A2" w:rsidRDefault="00AB797D" w:rsidP="00AB797D">
      <w:pPr>
        <w:rPr>
          <w:rFonts w:cs="Arial"/>
          <w:sz w:val="20"/>
          <w:szCs w:val="20"/>
        </w:rPr>
      </w:pPr>
      <w:r w:rsidRPr="008C40A2">
        <w:rPr>
          <w:rFonts w:cs="Arial"/>
          <w:sz w:val="20"/>
          <w:szCs w:val="20"/>
        </w:rPr>
        <w:t>Kadar je pri poračunu premije iz prvega odstavka tega člena znesek višji od zneska že fakturirane premije, posameznemu naročniku zavarovalnica izstavi račun (</w:t>
      </w:r>
      <w:proofErr w:type="spellStart"/>
      <w:r w:rsidRPr="008C40A2">
        <w:rPr>
          <w:rFonts w:cs="Arial"/>
          <w:sz w:val="20"/>
          <w:szCs w:val="20"/>
        </w:rPr>
        <w:t>bremepis</w:t>
      </w:r>
      <w:proofErr w:type="spellEnd"/>
      <w:r w:rsidRPr="008C40A2">
        <w:rPr>
          <w:rFonts w:cs="Arial"/>
          <w:sz w:val="20"/>
          <w:szCs w:val="20"/>
        </w:rPr>
        <w:t xml:space="preserve">), ki ga posamezni naročnik plača 30. </w:t>
      </w:r>
      <w:r>
        <w:rPr>
          <w:rFonts w:cs="Arial"/>
          <w:sz w:val="20"/>
          <w:szCs w:val="20"/>
        </w:rPr>
        <w:t xml:space="preserve">(trideseti) </w:t>
      </w:r>
      <w:r w:rsidRPr="008C40A2">
        <w:rPr>
          <w:rFonts w:cs="Arial"/>
          <w:sz w:val="20"/>
          <w:szCs w:val="20"/>
        </w:rPr>
        <w:t>dan oziroma v 30</w:t>
      </w:r>
      <w:r>
        <w:rPr>
          <w:rFonts w:cs="Arial"/>
          <w:sz w:val="20"/>
          <w:szCs w:val="20"/>
        </w:rPr>
        <w:t xml:space="preserve"> (tridesetih)</w:t>
      </w:r>
      <w:r w:rsidRPr="008C40A2">
        <w:rPr>
          <w:rFonts w:cs="Arial"/>
          <w:sz w:val="20"/>
          <w:szCs w:val="20"/>
        </w:rPr>
        <w:t xml:space="preserve"> dneh (odvisno od vrste naročnika v skladu z Zakonom o izvrševanju proračunov RS ali od sofinanciranja naročnika iz sredstev Evropske Unije), po uradnem prejemu pravilno izstavljenega računa </w:t>
      </w:r>
      <w:bookmarkStart w:id="0" w:name="_Hlk29294301"/>
      <w:r w:rsidRPr="008C40A2">
        <w:rPr>
          <w:rFonts w:cs="Arial"/>
          <w:sz w:val="20"/>
          <w:szCs w:val="20"/>
        </w:rPr>
        <w:t>(</w:t>
      </w:r>
      <w:proofErr w:type="spellStart"/>
      <w:r w:rsidRPr="008C40A2">
        <w:rPr>
          <w:rFonts w:cs="Arial"/>
          <w:sz w:val="20"/>
          <w:szCs w:val="20"/>
        </w:rPr>
        <w:t>bremepisa</w:t>
      </w:r>
      <w:bookmarkEnd w:id="0"/>
      <w:proofErr w:type="spellEnd"/>
      <w:r w:rsidRPr="008C40A2">
        <w:rPr>
          <w:rFonts w:cs="Arial"/>
          <w:sz w:val="20"/>
          <w:szCs w:val="20"/>
        </w:rPr>
        <w:t xml:space="preserve">). </w:t>
      </w:r>
    </w:p>
    <w:p w14:paraId="383B6629" w14:textId="77777777" w:rsidR="00AB797D" w:rsidRPr="008C40A2" w:rsidRDefault="00AB797D" w:rsidP="00AB797D">
      <w:pPr>
        <w:rPr>
          <w:rFonts w:cs="Arial"/>
          <w:sz w:val="20"/>
          <w:szCs w:val="20"/>
        </w:rPr>
      </w:pPr>
    </w:p>
    <w:p w14:paraId="59CB0C0F" w14:textId="77777777" w:rsidR="00AB797D" w:rsidRPr="008C40A2" w:rsidRDefault="00AB797D" w:rsidP="00AB797D">
      <w:pPr>
        <w:rPr>
          <w:rFonts w:cs="Arial"/>
          <w:sz w:val="20"/>
          <w:szCs w:val="20"/>
        </w:rPr>
      </w:pPr>
      <w:r w:rsidRPr="008C40A2">
        <w:rPr>
          <w:rFonts w:cs="Arial"/>
          <w:sz w:val="20"/>
          <w:szCs w:val="20"/>
        </w:rPr>
        <w:t>V primeru, da je pri končnem obračunu letne premije iz prvega odstavka tega člena znesek le te nižji od zneska že fakturirane premije posameznemu naročniku, zavarovalnica izstavi račun/dobropis na premije za tekoče zavarovalno leto, razen za zadnje zavarovalno leto zavarovalnica izstavi račun/dobropis na premije iz preteklega zavarovalnega leta. Posameznemu naročniku pa se za višino tega zneska zmanjša obveznost plačila premije za tekoče zavarovalno leto, razen za zadnje zavarovalno leto zavarovalnica izstavi račun/dobropis na premije iz preteklega zavarovalnega leta.</w:t>
      </w:r>
    </w:p>
    <w:p w14:paraId="5D9A7B22" w14:textId="77777777" w:rsidR="00AB797D" w:rsidRPr="008C40A2" w:rsidRDefault="00AB797D" w:rsidP="00AB797D">
      <w:pPr>
        <w:rPr>
          <w:rFonts w:cs="Arial"/>
          <w:sz w:val="20"/>
          <w:szCs w:val="20"/>
        </w:rPr>
      </w:pPr>
    </w:p>
    <w:p w14:paraId="0A729F79" w14:textId="77777777" w:rsidR="00AB797D" w:rsidRPr="008C40A2" w:rsidRDefault="00AB797D" w:rsidP="00AB797D">
      <w:pPr>
        <w:rPr>
          <w:rFonts w:cs="Arial"/>
          <w:sz w:val="20"/>
          <w:szCs w:val="20"/>
        </w:rPr>
      </w:pPr>
      <w:r w:rsidRPr="008C40A2">
        <w:rPr>
          <w:rFonts w:cs="Arial"/>
          <w:sz w:val="20"/>
          <w:szCs w:val="20"/>
        </w:rPr>
        <w:t xml:space="preserve">V kolikor posamezni naročnik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8C40A2">
        <w:rPr>
          <w:rFonts w:cs="Arial"/>
          <w:sz w:val="20"/>
          <w:szCs w:val="20"/>
        </w:rPr>
        <w:t>temporis</w:t>
      </w:r>
      <w:proofErr w:type="spellEnd"/>
      <w:r w:rsidRPr="008C40A2">
        <w:rPr>
          <w:rFonts w:cs="Arial"/>
          <w:sz w:val="20"/>
          <w:szCs w:val="20"/>
        </w:rPr>
        <w:t xml:space="preserve">«. </w:t>
      </w:r>
    </w:p>
    <w:p w14:paraId="6A5C8972" w14:textId="77777777" w:rsidR="00AB797D" w:rsidRPr="008C40A2" w:rsidRDefault="00AB797D" w:rsidP="00AB797D">
      <w:pPr>
        <w:rPr>
          <w:rFonts w:cs="Arial"/>
          <w:sz w:val="20"/>
          <w:szCs w:val="20"/>
        </w:rPr>
      </w:pPr>
    </w:p>
    <w:p w14:paraId="7B11C5DC" w14:textId="77777777" w:rsidR="00AB797D" w:rsidRPr="008C40A2" w:rsidRDefault="00AB797D" w:rsidP="00AB797D">
      <w:pPr>
        <w:pStyle w:val="SlogLevo125cm"/>
      </w:pPr>
      <w:r w:rsidRPr="008C40A2">
        <w:t>V celotnem zavarovalnem obdobju na zavarovalno premijo pri nobenem zavarovanju ni dopusten vpliv škodnega dogajanja (bonus/</w:t>
      </w:r>
      <w:proofErr w:type="spellStart"/>
      <w:r w:rsidRPr="008C40A2">
        <w:t>malus</w:t>
      </w:r>
      <w:proofErr w:type="spellEnd"/>
      <w:r w:rsidRPr="008C40A2">
        <w:t>) na premijo, razen bonusa na poslovno tehnični rezultat. Zavarovalne premije oziroma premijske stopnje brez DPZP za vse zavarovane nevarnosti so fiksne in se v času trajanja celotnega zavarovalnega obdobja ne spreminjajo.</w:t>
      </w:r>
    </w:p>
    <w:p w14:paraId="73E074E4" w14:textId="77777777" w:rsidR="00AB797D" w:rsidRPr="008C40A2" w:rsidRDefault="00AB797D" w:rsidP="00AB797D">
      <w:pPr>
        <w:pStyle w:val="SlogLevo125cm"/>
      </w:pPr>
    </w:p>
    <w:p w14:paraId="36FC0877" w14:textId="465B8DB7" w:rsidR="00AB797D" w:rsidRDefault="00AB797D" w:rsidP="00AB797D">
      <w:pPr>
        <w:pStyle w:val="SlogLevo125cm"/>
      </w:pPr>
      <w:r w:rsidRPr="008C40A2">
        <w:t xml:space="preserve">Osnovo za obračun bonusa na doseženi poslovno tehnični rezultat (PTR) predstavlja končna obračunana letna zavarovalna premija (brez DPZP), za vse sklenjene zavarovalne vrste. </w:t>
      </w:r>
    </w:p>
    <w:p w14:paraId="7DDD9C3C" w14:textId="77777777" w:rsidR="00AB797D" w:rsidRPr="008C40A2" w:rsidRDefault="00AB797D" w:rsidP="00AB797D">
      <w:pPr>
        <w:pStyle w:val="SlogLevo125cm"/>
      </w:pPr>
    </w:p>
    <w:tbl>
      <w:tblPr>
        <w:tblStyle w:val="Tabelamrea"/>
        <w:tblW w:w="0" w:type="auto"/>
        <w:tblLook w:val="04A0" w:firstRow="1" w:lastRow="0" w:firstColumn="1" w:lastColumn="0" w:noHBand="0" w:noVBand="1"/>
      </w:tblPr>
      <w:tblGrid>
        <w:gridCol w:w="3823"/>
        <w:gridCol w:w="5238"/>
      </w:tblGrid>
      <w:tr w:rsidR="00AB797D" w:rsidRPr="008C40A2" w14:paraId="5CE558BE" w14:textId="77777777" w:rsidTr="00E01628">
        <w:tc>
          <w:tcPr>
            <w:tcW w:w="3823" w:type="dxa"/>
            <w:vAlign w:val="center"/>
          </w:tcPr>
          <w:p w14:paraId="39BFB64A" w14:textId="77777777" w:rsidR="00AB797D" w:rsidRPr="008C40A2" w:rsidRDefault="00AB797D" w:rsidP="00E01628">
            <w:pPr>
              <w:pStyle w:val="SlogLevo125cm"/>
              <w:jc w:val="center"/>
              <w:rPr>
                <w:b/>
              </w:rPr>
            </w:pPr>
            <w:r w:rsidRPr="008C40A2">
              <w:rPr>
                <w:b/>
              </w:rPr>
              <w:t>Škodni rezultat (v%)</w:t>
            </w:r>
          </w:p>
        </w:tc>
        <w:tc>
          <w:tcPr>
            <w:tcW w:w="5238" w:type="dxa"/>
            <w:vAlign w:val="center"/>
          </w:tcPr>
          <w:p w14:paraId="0AC0FE8A" w14:textId="77777777" w:rsidR="00AB797D" w:rsidRPr="008C40A2" w:rsidRDefault="00AB797D" w:rsidP="00E01628">
            <w:pPr>
              <w:pStyle w:val="SlogLevo125cm"/>
              <w:jc w:val="center"/>
              <w:rPr>
                <w:b/>
              </w:rPr>
            </w:pPr>
          </w:p>
          <w:p w14:paraId="28F1BCD1" w14:textId="77777777" w:rsidR="00AB797D" w:rsidRPr="008C40A2" w:rsidRDefault="00AB797D" w:rsidP="00E01628">
            <w:pPr>
              <w:pStyle w:val="SlogLevo125cm"/>
              <w:jc w:val="center"/>
              <w:rPr>
                <w:b/>
              </w:rPr>
            </w:pPr>
            <w:r w:rsidRPr="008C40A2">
              <w:rPr>
                <w:b/>
              </w:rPr>
              <w:t>Bonus na doseženi poslovno tehnični rezultat (v%)</w:t>
            </w:r>
          </w:p>
        </w:tc>
      </w:tr>
      <w:tr w:rsidR="00AB797D" w:rsidRPr="008C40A2" w14:paraId="7D5BFE7B" w14:textId="77777777" w:rsidTr="00E01628">
        <w:tc>
          <w:tcPr>
            <w:tcW w:w="3823" w:type="dxa"/>
          </w:tcPr>
          <w:p w14:paraId="658A616A" w14:textId="77777777" w:rsidR="00AB797D" w:rsidRPr="008C40A2" w:rsidRDefault="00AB797D" w:rsidP="00E01628">
            <w:pPr>
              <w:pStyle w:val="SlogLevo125cm"/>
              <w:jc w:val="center"/>
            </w:pPr>
            <w:r w:rsidRPr="008C40A2">
              <w:t>od 0 do vključno 20</w:t>
            </w:r>
          </w:p>
        </w:tc>
        <w:tc>
          <w:tcPr>
            <w:tcW w:w="5238" w:type="dxa"/>
          </w:tcPr>
          <w:p w14:paraId="08C80B09" w14:textId="77777777" w:rsidR="00AB797D" w:rsidRPr="008C40A2" w:rsidRDefault="00AB797D" w:rsidP="00E01628">
            <w:pPr>
              <w:pStyle w:val="SlogLevo125cm"/>
              <w:jc w:val="center"/>
            </w:pPr>
            <w:r w:rsidRPr="008C40A2">
              <w:t>25</w:t>
            </w:r>
          </w:p>
        </w:tc>
      </w:tr>
      <w:tr w:rsidR="00AB797D" w:rsidRPr="008C40A2" w14:paraId="0CD31A51" w14:textId="77777777" w:rsidTr="00E01628">
        <w:tc>
          <w:tcPr>
            <w:tcW w:w="3823" w:type="dxa"/>
          </w:tcPr>
          <w:p w14:paraId="4D3EA6F3" w14:textId="77777777" w:rsidR="00AB797D" w:rsidRPr="008C40A2" w:rsidRDefault="00AB797D" w:rsidP="00E01628">
            <w:pPr>
              <w:pStyle w:val="SlogLevo125cm"/>
              <w:jc w:val="center"/>
            </w:pPr>
            <w:r w:rsidRPr="008C40A2">
              <w:t>nad 20 do vključno 30</w:t>
            </w:r>
          </w:p>
        </w:tc>
        <w:tc>
          <w:tcPr>
            <w:tcW w:w="5238" w:type="dxa"/>
          </w:tcPr>
          <w:p w14:paraId="77979243" w14:textId="77777777" w:rsidR="00AB797D" w:rsidRPr="008C40A2" w:rsidRDefault="00AB797D" w:rsidP="00E01628">
            <w:pPr>
              <w:pStyle w:val="SlogLevo125cm"/>
              <w:jc w:val="center"/>
            </w:pPr>
            <w:r w:rsidRPr="008C40A2">
              <w:t>20</w:t>
            </w:r>
          </w:p>
        </w:tc>
      </w:tr>
      <w:tr w:rsidR="00AB797D" w:rsidRPr="008C40A2" w14:paraId="6EDE59ED" w14:textId="77777777" w:rsidTr="00E01628">
        <w:tc>
          <w:tcPr>
            <w:tcW w:w="3823" w:type="dxa"/>
          </w:tcPr>
          <w:p w14:paraId="19A54036" w14:textId="77777777" w:rsidR="00AB797D" w:rsidRPr="008C40A2" w:rsidRDefault="00AB797D" w:rsidP="00E01628">
            <w:pPr>
              <w:pStyle w:val="SlogLevo125cm"/>
              <w:jc w:val="center"/>
            </w:pPr>
            <w:r w:rsidRPr="008C40A2">
              <w:t>nad 30 do vključno 40</w:t>
            </w:r>
          </w:p>
        </w:tc>
        <w:tc>
          <w:tcPr>
            <w:tcW w:w="5238" w:type="dxa"/>
          </w:tcPr>
          <w:p w14:paraId="739D2697" w14:textId="77777777" w:rsidR="00AB797D" w:rsidRPr="008C40A2" w:rsidRDefault="00AB797D" w:rsidP="00E01628">
            <w:pPr>
              <w:pStyle w:val="SlogLevo125cm"/>
              <w:jc w:val="center"/>
            </w:pPr>
            <w:r w:rsidRPr="008C40A2">
              <w:t>15</w:t>
            </w:r>
          </w:p>
        </w:tc>
      </w:tr>
      <w:tr w:rsidR="00AB797D" w:rsidRPr="008C40A2" w14:paraId="50DF0F79" w14:textId="77777777" w:rsidTr="00E01628">
        <w:tc>
          <w:tcPr>
            <w:tcW w:w="3823" w:type="dxa"/>
          </w:tcPr>
          <w:p w14:paraId="632CC8AA" w14:textId="77777777" w:rsidR="00AB797D" w:rsidRPr="008C40A2" w:rsidRDefault="00AB797D" w:rsidP="00E01628">
            <w:pPr>
              <w:pStyle w:val="SlogLevo125cm"/>
              <w:jc w:val="center"/>
            </w:pPr>
            <w:r w:rsidRPr="008C40A2">
              <w:t>nad 40 do vključno 50</w:t>
            </w:r>
          </w:p>
        </w:tc>
        <w:tc>
          <w:tcPr>
            <w:tcW w:w="5238" w:type="dxa"/>
          </w:tcPr>
          <w:p w14:paraId="481B0D6E" w14:textId="77777777" w:rsidR="00AB797D" w:rsidRPr="008C40A2" w:rsidRDefault="00AB797D" w:rsidP="00E01628">
            <w:pPr>
              <w:pStyle w:val="SlogLevo125cm"/>
              <w:jc w:val="center"/>
            </w:pPr>
            <w:r w:rsidRPr="008C40A2">
              <w:t>10</w:t>
            </w:r>
          </w:p>
        </w:tc>
      </w:tr>
      <w:tr w:rsidR="00AB797D" w:rsidRPr="008C40A2" w14:paraId="1ABE7F6E" w14:textId="77777777" w:rsidTr="00E01628">
        <w:tc>
          <w:tcPr>
            <w:tcW w:w="3823" w:type="dxa"/>
          </w:tcPr>
          <w:p w14:paraId="18617EFC" w14:textId="77777777" w:rsidR="00AB797D" w:rsidRPr="008C40A2" w:rsidRDefault="00AB797D" w:rsidP="00E01628">
            <w:pPr>
              <w:pStyle w:val="SlogLevo125cm"/>
              <w:jc w:val="center"/>
            </w:pPr>
            <w:r w:rsidRPr="008C40A2">
              <w:t>nad 50 do vključno 55</w:t>
            </w:r>
          </w:p>
        </w:tc>
        <w:tc>
          <w:tcPr>
            <w:tcW w:w="5238" w:type="dxa"/>
          </w:tcPr>
          <w:p w14:paraId="6F513DD8" w14:textId="77777777" w:rsidR="00AB797D" w:rsidRPr="008C40A2" w:rsidRDefault="00AB797D" w:rsidP="00E01628">
            <w:pPr>
              <w:pStyle w:val="SlogLevo125cm"/>
              <w:jc w:val="center"/>
            </w:pPr>
            <w:r w:rsidRPr="008C40A2">
              <w:t>5</w:t>
            </w:r>
          </w:p>
        </w:tc>
      </w:tr>
    </w:tbl>
    <w:p w14:paraId="192B7176" w14:textId="77777777" w:rsidR="00AB797D" w:rsidRDefault="00AB797D" w:rsidP="00AB797D">
      <w:pPr>
        <w:pStyle w:val="SlogLevo125cm"/>
      </w:pPr>
    </w:p>
    <w:p w14:paraId="32AC6ED2" w14:textId="77777777" w:rsidR="00AB797D" w:rsidRPr="008C40A2" w:rsidRDefault="00AB797D" w:rsidP="00AB797D">
      <w:pPr>
        <w:pStyle w:val="SlogLevo125cm"/>
      </w:pPr>
      <w:r w:rsidRPr="008C40A2">
        <w:t xml:space="preserve">Izračun škodnega rezultata pripravi zavarovalnica do dvajsetega (20.) delovnega dne po preteku posameznega zavarovalnega leta, in sicer: </w:t>
      </w:r>
    </w:p>
    <w:p w14:paraId="1C24358C" w14:textId="77777777" w:rsidR="00AB797D" w:rsidRPr="00BE4FD2" w:rsidRDefault="00AB797D" w:rsidP="00AB797D">
      <w:pPr>
        <w:pStyle w:val="Telobesedila"/>
        <w:numPr>
          <w:ilvl w:val="0"/>
          <w:numId w:val="2"/>
        </w:numPr>
        <w:rPr>
          <w:rFonts w:ascii="Arial" w:hAnsi="Arial" w:cs="Arial"/>
          <w:sz w:val="20"/>
          <w:szCs w:val="20"/>
        </w:rPr>
      </w:pPr>
      <w:r w:rsidRPr="00BE4FD2">
        <w:rPr>
          <w:rFonts w:ascii="Arial" w:hAnsi="Arial" w:cs="Arial"/>
          <w:sz w:val="20"/>
          <w:szCs w:val="20"/>
        </w:rPr>
        <w:t xml:space="preserve">po preteku prvega zavarovalnega leta se upošteva končna obračunana zavarovalna premija za prvo zavarovalno leto in likvidirane škode v prvem zavarovalnem letu; </w:t>
      </w:r>
    </w:p>
    <w:p w14:paraId="34270BBC" w14:textId="77777777" w:rsidR="00AB797D" w:rsidRPr="00BE4FD2" w:rsidRDefault="00AB797D" w:rsidP="00AB797D">
      <w:pPr>
        <w:pStyle w:val="Telobesedila"/>
        <w:numPr>
          <w:ilvl w:val="0"/>
          <w:numId w:val="2"/>
        </w:numPr>
        <w:rPr>
          <w:rFonts w:ascii="Arial" w:hAnsi="Arial" w:cs="Arial"/>
          <w:sz w:val="20"/>
          <w:szCs w:val="20"/>
        </w:rPr>
      </w:pPr>
      <w:r w:rsidRPr="00BE4FD2">
        <w:rPr>
          <w:rFonts w:ascii="Arial" w:hAnsi="Arial" w:cs="Arial"/>
          <w:sz w:val="20"/>
          <w:szCs w:val="20"/>
        </w:rPr>
        <w:t xml:space="preserve">po preteku drugega zavarovalnega leta se upošteva končna obračunana zavarovalna premija za drugo zavarovalno leto in likvidirane škode v drugem zavarovalnem letu; </w:t>
      </w:r>
    </w:p>
    <w:p w14:paraId="58F9F6E6" w14:textId="77777777" w:rsidR="00AB797D" w:rsidRPr="00BE4FD2" w:rsidRDefault="00AB797D" w:rsidP="00AB797D">
      <w:pPr>
        <w:pStyle w:val="Telobesedila"/>
        <w:numPr>
          <w:ilvl w:val="0"/>
          <w:numId w:val="2"/>
        </w:numPr>
        <w:rPr>
          <w:rFonts w:ascii="Arial" w:hAnsi="Arial" w:cs="Arial"/>
          <w:sz w:val="20"/>
          <w:szCs w:val="20"/>
        </w:rPr>
      </w:pPr>
      <w:r w:rsidRPr="00BE4FD2">
        <w:rPr>
          <w:rFonts w:ascii="Arial" w:hAnsi="Arial" w:cs="Arial"/>
          <w:sz w:val="20"/>
          <w:szCs w:val="20"/>
        </w:rPr>
        <w:t xml:space="preserve">po preteku treh zavarovalnih let se upošteva končna obračunana zavarovalna premija za tretje zavarovalno leto in likvidirane škode za tretje zavarovalno leto. </w:t>
      </w:r>
    </w:p>
    <w:p w14:paraId="0881B9F6" w14:textId="77777777" w:rsidR="00AB797D" w:rsidRPr="008C40A2" w:rsidRDefault="00AB797D" w:rsidP="00AB797D">
      <w:pPr>
        <w:pStyle w:val="SlogLevo125cm"/>
      </w:pPr>
    </w:p>
    <w:p w14:paraId="73C7D520" w14:textId="77777777" w:rsidR="00AB797D" w:rsidRPr="008C40A2" w:rsidRDefault="00AB797D" w:rsidP="00AB797D">
      <w:pPr>
        <w:pStyle w:val="SlogLevo125cm"/>
      </w:pPr>
      <w:r w:rsidRPr="008C40A2">
        <w:t xml:space="preserve">Pri letnem izračunu škodnega rezultata se končna obračunana letna zavarovalna premija zmanjša za morebitni že izplačan bonus na dosežen poslovno tehnični rezultat za preteklo zavarovalno leto. Likvidiranim škodam se prištejejo tudi škode v reševanju, nastale od </w:t>
      </w:r>
      <w:r w:rsidRPr="00536BF5">
        <w:t>1.</w:t>
      </w:r>
      <w:r>
        <w:t xml:space="preserve"> </w:t>
      </w:r>
      <w:r w:rsidRPr="00536BF5">
        <w:t>1.</w:t>
      </w:r>
      <w:r>
        <w:t xml:space="preserve"> </w:t>
      </w:r>
      <w:r w:rsidRPr="00536BF5">
        <w:t>2021 dalje</w:t>
      </w:r>
      <w:r w:rsidRPr="008C40A2">
        <w:t xml:space="preserve"> (škodna rezervacija na prvi dan zavarovalnega leta v katerem se izračunava škodni rezultat) in odštejejo regresirane škode. </w:t>
      </w:r>
    </w:p>
    <w:p w14:paraId="544826C2" w14:textId="77777777" w:rsidR="00AB797D" w:rsidRPr="008C40A2" w:rsidRDefault="00AB797D" w:rsidP="00AB797D">
      <w:pPr>
        <w:pStyle w:val="SlogLevo125cm"/>
      </w:pPr>
    </w:p>
    <w:p w14:paraId="6F03BD4F" w14:textId="77777777" w:rsidR="00AB797D" w:rsidRPr="008C40A2" w:rsidRDefault="00AB797D" w:rsidP="00AB797D">
      <w:pPr>
        <w:pStyle w:val="SlogLevo125cm"/>
      </w:pPr>
      <w:r w:rsidRPr="008C40A2">
        <w:t>Zavarovalnica najkasneje do dvajsetega (20.) delovnega dne po preteku posameznega zavarovalnega leta posameznemu naročniku posreduje akontacijski obračun bonusa na doseženi poslovno tehnični rezultat, ki je vključen v končni obračun letne premije za preteklo zavarovalno leto. V kolikor je posamezni naročnik upravičen do bonusa na poslovno tehnični rezultat zavarovalnica skupaj s končnim obračunom premije za preteklo leto izstavi račun/dobropis na premije za tekoče zavarovalno leto, razen za zadnje zavarovalno leto zavarovalnica izstavi račun/dobropis na premije iz preteklega zavarovalnega leta. Posameznemu naročniku pa se za višino tega zneska zmanjša obveznost plačila premije za tekoče zavarovalno leto, razen za zadnje zavarovalno leto zavarovalnica izstavi račun/dobropis na premije iz preteklega zavarovalnega leta in tudi nakaže oziroma vrne naročniku.</w:t>
      </w:r>
    </w:p>
    <w:p w14:paraId="7D8281EC" w14:textId="77777777" w:rsidR="00AB797D" w:rsidRPr="008C40A2" w:rsidRDefault="00AB797D" w:rsidP="00AB797D">
      <w:pPr>
        <w:pStyle w:val="SlogLevo125cm"/>
      </w:pPr>
    </w:p>
    <w:p w14:paraId="12BF2F40" w14:textId="77777777" w:rsidR="00AB797D" w:rsidRPr="008C40A2" w:rsidRDefault="00AB797D" w:rsidP="00AB797D">
      <w:pPr>
        <w:rPr>
          <w:rFonts w:cs="Arial"/>
          <w:sz w:val="20"/>
          <w:szCs w:val="20"/>
        </w:rPr>
      </w:pPr>
      <w:r w:rsidRPr="008C40A2">
        <w:rPr>
          <w:rFonts w:cs="Arial"/>
          <w:sz w:val="20"/>
          <w:szCs w:val="20"/>
        </w:rPr>
        <w:t xml:space="preserve">Končni škodni rezultat zavarovalnica izračuna po preteku desetih mesecev zadnjega zavarovalnega leta, pri čemer se upošteva končna obračunana zavarovalna premija za celotno zavarovalno obdobje zmanjšana za morebitne že izplačane bonuse in likvidirane škode brez regresiranih škod ter škode v reševanju na dan 01. 11. po preteku zadnjega zavarovalnega leta. Zavarovalnica posreduje najkasneje do 05. 11. po preteku zadnjega zavarovalnega leta končni obračun bonusa na doseženi poslovno tehnični rezultat v potrditev posameznemu naročniku, ki ga ta potrdi v roku desetih (10) delovnih dneh po prejemu. </w:t>
      </w:r>
    </w:p>
    <w:p w14:paraId="4B846F1C" w14:textId="77777777" w:rsidR="00AB797D" w:rsidRPr="008C40A2" w:rsidRDefault="00AB797D" w:rsidP="00AB797D">
      <w:pPr>
        <w:rPr>
          <w:rFonts w:cs="Arial"/>
          <w:sz w:val="20"/>
          <w:szCs w:val="20"/>
        </w:rPr>
      </w:pPr>
    </w:p>
    <w:p w14:paraId="32A75C3D" w14:textId="77777777" w:rsidR="00AB797D" w:rsidRPr="008C40A2" w:rsidRDefault="00AB797D" w:rsidP="00AB797D">
      <w:pPr>
        <w:rPr>
          <w:rFonts w:cs="Arial"/>
          <w:sz w:val="20"/>
          <w:szCs w:val="20"/>
        </w:rPr>
      </w:pPr>
      <w:r w:rsidRPr="008C40A2">
        <w:rPr>
          <w:rFonts w:cs="Arial"/>
          <w:sz w:val="20"/>
          <w:szCs w:val="20"/>
        </w:rPr>
        <w:t>V primeru razlike med seštevkom akontacij bonusa na doseženi poslovno tehnični rezultat za posamezna zavarovalna leta in zneskom končnega obračuna bonusa na dosežen poslovno tehnični rezultat zavarovalnica izstavi račun (dobropis/</w:t>
      </w:r>
      <w:proofErr w:type="spellStart"/>
      <w:r w:rsidRPr="008C40A2">
        <w:rPr>
          <w:rFonts w:cs="Arial"/>
          <w:sz w:val="20"/>
          <w:szCs w:val="20"/>
        </w:rPr>
        <w:t>bremepis</w:t>
      </w:r>
      <w:proofErr w:type="spellEnd"/>
      <w:r w:rsidRPr="008C40A2">
        <w:rPr>
          <w:rFonts w:cs="Arial"/>
          <w:sz w:val="20"/>
          <w:szCs w:val="20"/>
        </w:rPr>
        <w:t xml:space="preserve">), ki zapade 30. </w:t>
      </w:r>
      <w:r>
        <w:rPr>
          <w:rFonts w:cs="Arial"/>
          <w:sz w:val="20"/>
          <w:szCs w:val="20"/>
        </w:rPr>
        <w:t xml:space="preserve">(trideseti) </w:t>
      </w:r>
      <w:r w:rsidRPr="008C40A2">
        <w:rPr>
          <w:rFonts w:cs="Arial"/>
          <w:sz w:val="20"/>
          <w:szCs w:val="20"/>
        </w:rPr>
        <w:t xml:space="preserve">dan oziroma v 30 </w:t>
      </w:r>
      <w:r>
        <w:rPr>
          <w:rFonts w:cs="Arial"/>
          <w:sz w:val="20"/>
          <w:szCs w:val="20"/>
        </w:rPr>
        <w:t xml:space="preserve">(tridesetih) </w:t>
      </w:r>
      <w:r w:rsidRPr="008C40A2">
        <w:rPr>
          <w:rFonts w:cs="Arial"/>
          <w:sz w:val="20"/>
          <w:szCs w:val="20"/>
        </w:rPr>
        <w:t xml:space="preserve">dneh, po uradnem prejemu pravilno izstavljenega zadevnega računa. </w:t>
      </w:r>
    </w:p>
    <w:p w14:paraId="598A6C8C" w14:textId="77777777" w:rsidR="00AB797D" w:rsidRPr="008C40A2" w:rsidRDefault="00AB797D" w:rsidP="00AB797D">
      <w:pPr>
        <w:pStyle w:val="SlogLevo125cm"/>
      </w:pPr>
    </w:p>
    <w:p w14:paraId="2E730F47" w14:textId="77777777" w:rsidR="00AB797D" w:rsidRPr="008C40A2" w:rsidRDefault="00AB797D" w:rsidP="00AB797D">
      <w:pPr>
        <w:pStyle w:val="SlogLevo125cm"/>
      </w:pPr>
      <w:r w:rsidRPr="008C40A2">
        <w:t>Skupni izplačani bonus na dosežen poslovno tehnični rezultat v celotnem zavarovalnem obdobju je lahko največ 75 % povprečne končne obračunske letne premije.</w:t>
      </w:r>
    </w:p>
    <w:p w14:paraId="588B2B78" w14:textId="77777777" w:rsidR="003D14FB" w:rsidRDefault="00AB797D"/>
    <w:sectPr w:rsidR="003D14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8A1063"/>
    <w:multiLevelType w:val="hybridMultilevel"/>
    <w:tmpl w:val="653896F6"/>
    <w:lvl w:ilvl="0" w:tplc="28E8AC4C">
      <w:start w:val="6"/>
      <w:numFmt w:val="decimal"/>
      <w:lvlText w:val="%1."/>
      <w:lvlJc w:val="left"/>
      <w:pPr>
        <w:tabs>
          <w:tab w:val="num" w:pos="720"/>
        </w:tabs>
        <w:ind w:left="720" w:hanging="360"/>
      </w:pPr>
      <w:rPr>
        <w:rFonts w:hint="default"/>
      </w:r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79090DF9"/>
    <w:multiLevelType w:val="hybridMultilevel"/>
    <w:tmpl w:val="9B98AB8E"/>
    <w:lvl w:ilvl="0" w:tplc="E5FA2556">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86"/>
    <w:rsid w:val="000E6486"/>
    <w:rsid w:val="004C1AE2"/>
    <w:rsid w:val="00950BE0"/>
    <w:rsid w:val="00AB79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11CD3"/>
  <w15:chartTrackingRefBased/>
  <w15:docId w15:val="{5EE0D192-48C0-4914-A529-3E9E8394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797D"/>
    <w:pPr>
      <w:spacing w:after="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AB797D"/>
    <w:rPr>
      <w:rFonts w:ascii="Times New Roman" w:hAnsi="Times New Roman"/>
      <w:sz w:val="24"/>
    </w:rPr>
  </w:style>
  <w:style w:type="character" w:customStyle="1" w:styleId="TelobesedilaZnak">
    <w:name w:val="Telo besedila Znak"/>
    <w:basedOn w:val="Privzetapisavaodstavka"/>
    <w:link w:val="Telobesedila"/>
    <w:uiPriority w:val="99"/>
    <w:rsid w:val="00AB797D"/>
    <w:rPr>
      <w:rFonts w:ascii="Times New Roman" w:eastAsia="Times New Roman" w:hAnsi="Times New Roman" w:cs="Times New Roman"/>
      <w:sz w:val="24"/>
      <w:szCs w:val="24"/>
      <w:lang w:eastAsia="sl-SI"/>
    </w:rPr>
  </w:style>
  <w:style w:type="paragraph" w:customStyle="1" w:styleId="SlogLevo125cm">
    <w:name w:val="Slog Levo:  125 cm"/>
    <w:basedOn w:val="Navaden"/>
    <w:autoRedefine/>
    <w:rsid w:val="00AB797D"/>
    <w:rPr>
      <w:rFonts w:cs="Arial"/>
      <w:sz w:val="20"/>
      <w:szCs w:val="20"/>
    </w:rPr>
  </w:style>
  <w:style w:type="table" w:styleId="Tabelamrea">
    <w:name w:val="Table Grid"/>
    <w:basedOn w:val="Navadnatabela"/>
    <w:rsid w:val="00AB797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905</Words>
  <Characters>5163</Characters>
  <Application>Microsoft Office Word</Application>
  <DocSecurity>0</DocSecurity>
  <Lines>43</Lines>
  <Paragraphs>12</Paragraphs>
  <ScaleCrop>false</ScaleCrop>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Kuzman</dc:creator>
  <cp:keywords/>
  <dc:description/>
  <cp:lastModifiedBy>Sabina Kuzman</cp:lastModifiedBy>
  <cp:revision>2</cp:revision>
  <dcterms:created xsi:type="dcterms:W3CDTF">2022-01-24T14:11:00Z</dcterms:created>
  <dcterms:modified xsi:type="dcterms:W3CDTF">2022-01-24T14:11:00Z</dcterms:modified>
</cp:coreProperties>
</file>